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C.V. </w:t>
      </w:r>
    </w:p>
    <w:p>
      <w:pPr>
        <w:spacing w:before="0" w:after="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WALTER ACOSTA (Uruguay, 1935) </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285"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Inicia sus estudios de drama en la Institución Teatral El Galpón e integra su elenco entre 1957 y 1962. Crea en Las Piedras el Teatro Los Comediantes que dirige hasta 1967, año en que es contratado por la BBC de Londres. Durante sus 23 años en Inglaterra, funda dos compañías de teatro y dirige numerosas obras del teatro universal con artistas de primer nivel, entre otros, John Gielgud (</w:t>
      </w:r>
      <w:r>
        <w:rPr>
          <w:rFonts w:ascii="Arial" w:hAnsi="Arial" w:cs="Arial" w:eastAsia="Arial"/>
          <w:i/>
          <w:color w:val="000000"/>
          <w:spacing w:val="0"/>
          <w:position w:val="0"/>
          <w:sz w:val="28"/>
          <w:shd w:fill="auto" w:val="clear"/>
        </w:rPr>
        <w:t xml:space="preserve">La Tempestad</w:t>
      </w:r>
      <w:r>
        <w:rPr>
          <w:rFonts w:ascii="Arial" w:hAnsi="Arial" w:cs="Arial" w:eastAsia="Arial"/>
          <w:color w:val="000000"/>
          <w:spacing w:val="0"/>
          <w:position w:val="0"/>
          <w:sz w:val="28"/>
          <w:shd w:fill="auto" w:val="clear"/>
        </w:rPr>
        <w:t xml:space="preserve">), Trevor Howard (</w:t>
      </w:r>
      <w:r>
        <w:rPr>
          <w:rFonts w:ascii="Arial" w:hAnsi="Arial" w:cs="Arial" w:eastAsia="Arial"/>
          <w:i/>
          <w:color w:val="000000"/>
          <w:spacing w:val="0"/>
          <w:position w:val="0"/>
          <w:sz w:val="28"/>
          <w:shd w:fill="auto" w:val="clear"/>
        </w:rPr>
        <w:t xml:space="preserve">El Rey Lear</w:t>
      </w:r>
      <w:r>
        <w:rPr>
          <w:rFonts w:ascii="Arial" w:hAnsi="Arial" w:cs="Arial" w:eastAsia="Arial"/>
          <w:color w:val="000000"/>
          <w:spacing w:val="0"/>
          <w:position w:val="0"/>
          <w:sz w:val="28"/>
          <w:shd w:fill="auto" w:val="clear"/>
        </w:rPr>
        <w:t xml:space="preserve">), Harold Pinter (</w:t>
      </w:r>
      <w:r>
        <w:rPr>
          <w:rFonts w:ascii="Arial" w:hAnsi="Arial" w:cs="Arial" w:eastAsia="Arial"/>
          <w:i/>
          <w:color w:val="000000"/>
          <w:spacing w:val="0"/>
          <w:position w:val="0"/>
          <w:sz w:val="28"/>
          <w:shd w:fill="auto" w:val="clear"/>
        </w:rPr>
        <w:t xml:space="preserve">Una especie de Alaska</w:t>
      </w:r>
      <w:r>
        <w:rPr>
          <w:rFonts w:ascii="Arial" w:hAnsi="Arial" w:cs="Arial" w:eastAsia="Arial"/>
          <w:color w:val="000000"/>
          <w:spacing w:val="0"/>
          <w:position w:val="0"/>
          <w:sz w:val="28"/>
          <w:shd w:fill="auto" w:val="clear"/>
        </w:rPr>
        <w:t xml:space="preserve">), Peggy Ascroft (dos obras de Marguerite Duras), Julie Christie (</w:t>
      </w:r>
      <w:r>
        <w:rPr>
          <w:rFonts w:ascii="Arial" w:hAnsi="Arial" w:cs="Arial" w:eastAsia="Arial"/>
          <w:i/>
          <w:color w:val="000000"/>
          <w:spacing w:val="0"/>
          <w:position w:val="0"/>
          <w:sz w:val="28"/>
          <w:shd w:fill="auto" w:val="clear"/>
        </w:rPr>
        <w:t xml:space="preserve">Tres hermanas</w:t>
      </w:r>
      <w:r>
        <w:rPr>
          <w:rFonts w:ascii="Arial" w:hAnsi="Arial" w:cs="Arial" w:eastAsia="Arial"/>
          <w:color w:val="000000"/>
          <w:spacing w:val="0"/>
          <w:position w:val="0"/>
          <w:sz w:val="28"/>
          <w:shd w:fill="auto" w:val="clear"/>
        </w:rPr>
        <w:t xml:space="preserve">), Kenneth Brannagh (</w:t>
      </w:r>
      <w:r>
        <w:rPr>
          <w:rFonts w:ascii="Arial" w:hAnsi="Arial" w:cs="Arial" w:eastAsia="Arial"/>
          <w:i/>
          <w:color w:val="000000"/>
          <w:spacing w:val="0"/>
          <w:position w:val="0"/>
          <w:sz w:val="28"/>
          <w:shd w:fill="auto" w:val="clear"/>
        </w:rPr>
        <w:t xml:space="preserve">Noche de Reyes</w:t>
      </w:r>
      <w:r>
        <w:rPr>
          <w:rFonts w:ascii="Arial" w:hAnsi="Arial" w:cs="Arial" w:eastAsia="Arial"/>
          <w:color w:val="000000"/>
          <w:spacing w:val="0"/>
          <w:position w:val="0"/>
          <w:sz w:val="28"/>
          <w:shd w:fill="auto" w:val="clear"/>
        </w:rPr>
        <w:t xml:space="preserve">) y Gary Oldman (</w:t>
      </w:r>
      <w:r>
        <w:rPr>
          <w:rFonts w:ascii="Arial" w:hAnsi="Arial" w:cs="Arial" w:eastAsia="Arial"/>
          <w:i/>
          <w:color w:val="000000"/>
          <w:spacing w:val="0"/>
          <w:position w:val="0"/>
          <w:sz w:val="28"/>
          <w:shd w:fill="auto" w:val="clear"/>
        </w:rPr>
        <w:t xml:space="preserve">Andorra</w:t>
      </w:r>
      <w:r>
        <w:rPr>
          <w:rFonts w:ascii="Arial" w:hAnsi="Arial" w:cs="Arial" w:eastAsia="Arial"/>
          <w:color w:val="000000"/>
          <w:spacing w:val="0"/>
          <w:position w:val="0"/>
          <w:sz w:val="28"/>
          <w:shd w:fill="auto" w:val="clear"/>
        </w:rPr>
        <w:t xml:space="preserve">). En ese mismo período pone en escena y adapta en inglés, varias obras de autores latinoamericanos tales como Isaac Chocrón (</w:t>
      </w:r>
      <w:r>
        <w:rPr>
          <w:rFonts w:ascii="Arial" w:hAnsi="Arial" w:cs="Arial" w:eastAsia="Arial"/>
          <w:i/>
          <w:color w:val="000000"/>
          <w:spacing w:val="0"/>
          <w:position w:val="0"/>
          <w:sz w:val="28"/>
          <w:shd w:fill="auto" w:val="clear"/>
        </w:rPr>
        <w:t xml:space="preserve">OK</w:t>
      </w:r>
      <w:r>
        <w:rPr>
          <w:rFonts w:ascii="Arial" w:hAnsi="Arial" w:cs="Arial" w:eastAsia="Arial"/>
          <w:color w:val="000000"/>
          <w:spacing w:val="0"/>
          <w:position w:val="0"/>
          <w:sz w:val="28"/>
          <w:shd w:fill="auto" w:val="clear"/>
        </w:rPr>
        <w:t xml:space="preserve">), Gabriel García Márquez (</w:t>
      </w:r>
      <w:r>
        <w:rPr>
          <w:rFonts w:ascii="Arial" w:hAnsi="Arial" w:cs="Arial" w:eastAsia="Arial"/>
          <w:i/>
          <w:color w:val="000000"/>
          <w:spacing w:val="0"/>
          <w:position w:val="0"/>
          <w:sz w:val="28"/>
          <w:shd w:fill="auto" w:val="clear"/>
        </w:rPr>
        <w:t xml:space="preserve">El Coronel no tiene quien le escriba</w:t>
      </w:r>
      <w:r>
        <w:rPr>
          <w:rFonts w:ascii="Arial" w:hAnsi="Arial" w:cs="Arial" w:eastAsia="Arial"/>
          <w:color w:val="000000"/>
          <w:spacing w:val="0"/>
          <w:position w:val="0"/>
          <w:sz w:val="28"/>
          <w:shd w:fill="auto" w:val="clear"/>
        </w:rPr>
        <w:t xml:space="preserve">) o Ugo Ulive (</w:t>
      </w:r>
      <w:r>
        <w:rPr>
          <w:rFonts w:ascii="Arial" w:hAnsi="Arial" w:cs="Arial" w:eastAsia="Arial"/>
          <w:i/>
          <w:color w:val="000000"/>
          <w:spacing w:val="0"/>
          <w:position w:val="0"/>
          <w:sz w:val="28"/>
          <w:shd w:fill="auto" w:val="clear"/>
        </w:rPr>
        <w:t xml:space="preserve">Prueba de fuego).</w:t>
      </w:r>
      <w:r>
        <w:rPr>
          <w:rFonts w:ascii="Arial" w:hAnsi="Arial" w:cs="Arial" w:eastAsia="Arial"/>
          <w:color w:val="000000"/>
          <w:spacing w:val="0"/>
          <w:position w:val="0"/>
          <w:sz w:val="28"/>
          <w:shd w:fill="auto" w:val="clear"/>
        </w:rPr>
        <w:t xml:space="preserve"> Entre otras obras dirigidas para la BBC en inglés, figuran </w:t>
      </w:r>
      <w:r>
        <w:rPr>
          <w:rFonts w:ascii="Arial" w:hAnsi="Arial" w:cs="Arial" w:eastAsia="Arial"/>
          <w:i/>
          <w:color w:val="000000"/>
          <w:spacing w:val="0"/>
          <w:position w:val="0"/>
          <w:sz w:val="28"/>
          <w:shd w:fill="auto" w:val="clear"/>
        </w:rPr>
        <w:t xml:space="preserve">“Bodas de sangre”, “La vida es sueño”  </w:t>
      </w:r>
      <w:r>
        <w:rPr>
          <w:rFonts w:ascii="Arial" w:hAnsi="Arial" w:cs="Arial" w:eastAsia="Arial"/>
          <w:color w:val="000000"/>
          <w:spacing w:val="0"/>
          <w:position w:val="0"/>
          <w:sz w:val="28"/>
          <w:shd w:fill="auto" w:val="clear"/>
        </w:rPr>
        <w:t xml:space="preserve">y </w:t>
      </w:r>
      <w:r>
        <w:rPr>
          <w:rFonts w:ascii="Arial" w:hAnsi="Arial" w:cs="Arial" w:eastAsia="Arial"/>
          <w:i/>
          <w:color w:val="000000"/>
          <w:spacing w:val="0"/>
          <w:position w:val="0"/>
          <w:sz w:val="28"/>
          <w:shd w:fill="auto" w:val="clear"/>
        </w:rPr>
        <w:t xml:space="preserve">“Fuenteovejuna”.</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Radicado más tarde en Ginebra, trabaja para Radio Suiza Internacional y Naciones Unidas. En Ginebra, estrena su obra </w:t>
      </w:r>
      <w:r>
        <w:rPr>
          <w:rFonts w:ascii="Arial" w:hAnsi="Arial" w:cs="Arial" w:eastAsia="Arial"/>
          <w:i/>
          <w:color w:val="000000"/>
          <w:spacing w:val="0"/>
          <w:position w:val="0"/>
          <w:sz w:val="28"/>
          <w:shd w:fill="auto" w:val="clear"/>
        </w:rPr>
        <w:t xml:space="preserve">“¡Yo, Diderot!” y </w:t>
      </w:r>
      <w:r>
        <w:rPr>
          <w:rFonts w:ascii="Arial" w:hAnsi="Arial" w:cs="Arial" w:eastAsia="Arial"/>
          <w:color w:val="000000"/>
          <w:spacing w:val="0"/>
          <w:position w:val="0"/>
          <w:sz w:val="28"/>
          <w:shd w:fill="auto" w:val="clear"/>
        </w:rPr>
        <w:t xml:space="preserve">dirige </w:t>
      </w:r>
      <w:r>
        <w:rPr>
          <w:rFonts w:ascii="Arial" w:hAnsi="Arial" w:cs="Arial" w:eastAsia="Arial"/>
          <w:i/>
          <w:color w:val="000000"/>
          <w:spacing w:val="0"/>
          <w:position w:val="0"/>
          <w:sz w:val="28"/>
          <w:shd w:fill="auto" w:val="clear"/>
        </w:rPr>
        <w:t xml:space="preserve">“Antígona”</w:t>
      </w:r>
      <w:r>
        <w:rPr>
          <w:rFonts w:ascii="Arial" w:hAnsi="Arial" w:cs="Arial" w:eastAsia="Arial"/>
          <w:color w:val="000000"/>
          <w:spacing w:val="0"/>
          <w:position w:val="0"/>
          <w:sz w:val="28"/>
          <w:shd w:fill="auto" w:val="clear"/>
        </w:rPr>
        <w:t xml:space="preserve">, de Sófocles, </w:t>
      </w:r>
      <w:r>
        <w:rPr>
          <w:rFonts w:ascii="Arial" w:hAnsi="Arial" w:cs="Arial" w:eastAsia="Arial"/>
          <w:i/>
          <w:color w:val="000000"/>
          <w:spacing w:val="0"/>
          <w:position w:val="0"/>
          <w:sz w:val="28"/>
          <w:shd w:fill="auto" w:val="clear"/>
        </w:rPr>
        <w:t xml:space="preserve">“Ha llegado un inspector</w:t>
      </w:r>
      <w:r>
        <w:rPr>
          <w:rFonts w:ascii="Arial" w:hAnsi="Arial" w:cs="Arial" w:eastAsia="Arial"/>
          <w:color w:val="000000"/>
          <w:spacing w:val="0"/>
          <w:position w:val="0"/>
          <w:sz w:val="28"/>
          <w:shd w:fill="auto" w:val="clear"/>
        </w:rPr>
        <w:t xml:space="preserve">”, de JB Priestley, “</w:t>
      </w:r>
      <w:r>
        <w:rPr>
          <w:rFonts w:ascii="Arial" w:hAnsi="Arial" w:cs="Arial" w:eastAsia="Arial"/>
          <w:i/>
          <w:color w:val="000000"/>
          <w:spacing w:val="0"/>
          <w:position w:val="0"/>
          <w:sz w:val="28"/>
          <w:shd w:fill="auto" w:val="clear"/>
        </w:rPr>
        <w:t xml:space="preserve">Insignificancia</w:t>
      </w:r>
      <w:r>
        <w:rPr>
          <w:rFonts w:ascii="Arial" w:hAnsi="Arial" w:cs="Arial" w:eastAsia="Arial"/>
          <w:color w:val="000000"/>
          <w:spacing w:val="0"/>
          <w:position w:val="0"/>
          <w:sz w:val="28"/>
          <w:shd w:fill="auto" w:val="clear"/>
        </w:rPr>
        <w:t xml:space="preserve">”, de Terry Johnson, “</w:t>
      </w:r>
      <w:r>
        <w:rPr>
          <w:rFonts w:ascii="Arial" w:hAnsi="Arial" w:cs="Arial" w:eastAsia="Arial"/>
          <w:i/>
          <w:color w:val="000000"/>
          <w:spacing w:val="0"/>
          <w:position w:val="0"/>
          <w:sz w:val="28"/>
          <w:shd w:fill="auto" w:val="clear"/>
        </w:rPr>
        <w:t xml:space="preserve">Confusiones</w:t>
      </w:r>
      <w:r>
        <w:rPr>
          <w:rFonts w:ascii="Arial" w:hAnsi="Arial" w:cs="Arial" w:eastAsia="Arial"/>
          <w:color w:val="000000"/>
          <w:spacing w:val="0"/>
          <w:position w:val="0"/>
          <w:sz w:val="28"/>
          <w:shd w:fill="auto" w:val="clear"/>
        </w:rPr>
        <w:t xml:space="preserve">” de Alan Ayckbourn , </w:t>
      </w:r>
      <w:r>
        <w:rPr>
          <w:rFonts w:ascii="Arial" w:hAnsi="Arial" w:cs="Arial" w:eastAsia="Arial"/>
          <w:i/>
          <w:color w:val="000000"/>
          <w:spacing w:val="0"/>
          <w:position w:val="0"/>
          <w:sz w:val="28"/>
          <w:shd w:fill="auto" w:val="clear"/>
        </w:rPr>
        <w:t xml:space="preserve">“Alturas de Macchu-Picchu, </w:t>
      </w:r>
      <w:r>
        <w:rPr>
          <w:rFonts w:ascii="Arial" w:hAnsi="Arial" w:cs="Arial" w:eastAsia="Arial"/>
          <w:color w:val="000000"/>
          <w:spacing w:val="0"/>
          <w:position w:val="0"/>
          <w:sz w:val="28"/>
          <w:shd w:fill="auto" w:val="clear"/>
        </w:rPr>
        <w:t xml:space="preserve">de Pablo Neruda, “</w:t>
      </w:r>
      <w:r>
        <w:rPr>
          <w:rFonts w:ascii="Arial" w:hAnsi="Arial" w:cs="Arial" w:eastAsia="Arial"/>
          <w:i/>
          <w:color w:val="000000"/>
          <w:spacing w:val="0"/>
          <w:position w:val="0"/>
          <w:sz w:val="28"/>
          <w:shd w:fill="auto" w:val="clear"/>
        </w:rPr>
        <w:t xml:space="preserve">La mujer judía”</w:t>
      </w:r>
      <w:r>
        <w:rPr>
          <w:rFonts w:ascii="Arial" w:hAnsi="Arial" w:cs="Arial" w:eastAsia="Arial"/>
          <w:color w:val="000000"/>
          <w:spacing w:val="0"/>
          <w:position w:val="0"/>
          <w:sz w:val="28"/>
          <w:shd w:fill="auto" w:val="clear"/>
        </w:rPr>
        <w:t xml:space="preserve">, de Bertolt Brecht, y </w:t>
      </w:r>
      <w:r>
        <w:rPr>
          <w:rFonts w:ascii="Arial" w:hAnsi="Arial" w:cs="Arial" w:eastAsia="Arial"/>
          <w:i/>
          <w:color w:val="000000"/>
          <w:spacing w:val="0"/>
          <w:position w:val="0"/>
          <w:sz w:val="28"/>
          <w:shd w:fill="auto" w:val="clear"/>
        </w:rPr>
        <w:t xml:space="preserve">“Hamletmachine”, </w:t>
      </w:r>
      <w:r>
        <w:rPr>
          <w:rFonts w:ascii="Arial" w:hAnsi="Arial" w:cs="Arial" w:eastAsia="Arial"/>
          <w:color w:val="000000"/>
          <w:spacing w:val="0"/>
          <w:position w:val="0"/>
          <w:sz w:val="28"/>
          <w:shd w:fill="auto" w:val="clear"/>
        </w:rPr>
        <w:t xml:space="preserve">de Heiner Müller. </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Interesado en la dramaturgia desde el año 2000, Acosta recibe un año más tarde en Cuba, el Premio Casa de las Américas por su obra “</w:t>
      </w:r>
      <w:r>
        <w:rPr>
          <w:rFonts w:ascii="Arial" w:hAnsi="Arial" w:cs="Arial" w:eastAsia="Arial"/>
          <w:i/>
          <w:color w:val="000000"/>
          <w:spacing w:val="0"/>
          <w:position w:val="0"/>
          <w:sz w:val="28"/>
          <w:shd w:fill="auto" w:val="clear"/>
        </w:rPr>
        <w:t xml:space="preserve">El escorpión y la comadreja”, </w:t>
      </w:r>
      <w:r>
        <w:rPr>
          <w:rFonts w:ascii="Arial" w:hAnsi="Arial" w:cs="Arial" w:eastAsia="Arial"/>
          <w:color w:val="000000"/>
          <w:spacing w:val="0"/>
          <w:position w:val="0"/>
          <w:sz w:val="28"/>
          <w:shd w:fill="auto" w:val="clear"/>
        </w:rPr>
        <w:t xml:space="preserve">alusiva a los 503 días de Augusto Pinochet en Londres.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En mayo de 2003, Acosta es invitado a dirigir en la Comedia Nacional del Uruguay su obra “</w:t>
      </w:r>
      <w:r>
        <w:rPr>
          <w:rFonts w:ascii="Arial" w:hAnsi="Arial" w:cs="Arial" w:eastAsia="Arial"/>
          <w:i/>
          <w:color w:val="000000"/>
          <w:spacing w:val="0"/>
          <w:position w:val="0"/>
          <w:sz w:val="28"/>
          <w:shd w:fill="auto" w:val="clear"/>
        </w:rPr>
        <w:t xml:space="preserve">Meyerhold, en el fondo de un pozo vacío</w:t>
      </w:r>
      <w:r>
        <w:rPr>
          <w:rFonts w:ascii="Arial" w:hAnsi="Arial" w:cs="Arial" w:eastAsia="Arial"/>
          <w:color w:val="000000"/>
          <w:spacing w:val="0"/>
          <w:position w:val="0"/>
          <w:sz w:val="28"/>
          <w:shd w:fill="auto" w:val="clear"/>
        </w:rPr>
        <w:t xml:space="preserve">”, estrenada en octubre de ese año en Montevideo. </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Tras regresar a Europa, Acosta vive en Francia y en España, concentrando su trabajo en escribir nuevas obras, entre ellas las que finalmente integrarán la llamada </w:t>
      </w:r>
      <w:r>
        <w:rPr>
          <w:rFonts w:ascii="Arial" w:hAnsi="Arial" w:cs="Arial" w:eastAsia="Arial"/>
          <w:i/>
          <w:color w:val="000000"/>
          <w:spacing w:val="0"/>
          <w:position w:val="0"/>
          <w:sz w:val="28"/>
          <w:shd w:fill="auto" w:val="clear"/>
        </w:rPr>
        <w:t xml:space="preserve">“Trilogía Uruguaya”. </w:t>
      </w:r>
      <w:r>
        <w:rPr>
          <w:rFonts w:ascii="Arial" w:hAnsi="Arial" w:cs="Arial" w:eastAsia="Arial"/>
          <w:color w:val="000000"/>
          <w:spacing w:val="0"/>
          <w:position w:val="0"/>
          <w:sz w:val="28"/>
          <w:shd w:fill="auto" w:val="clear"/>
        </w:rPr>
        <w:t xml:space="preserve">El texto integral se publica en el año 2014. </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En el año 2007, Acosta se radica en Buenos Aires, lugar donde escribirá y estrenará sus unipersonales </w:t>
      </w:r>
      <w:r>
        <w:rPr>
          <w:rFonts w:ascii="Arial" w:hAnsi="Arial" w:cs="Arial" w:eastAsia="Arial"/>
          <w:i/>
          <w:color w:val="000000"/>
          <w:spacing w:val="0"/>
          <w:position w:val="0"/>
          <w:sz w:val="28"/>
          <w:shd w:fill="auto" w:val="clear"/>
        </w:rPr>
        <w:t xml:space="preserve">“¿Quién dijo miedo?” </w:t>
      </w:r>
      <w:r>
        <w:rPr>
          <w:rFonts w:ascii="Arial" w:hAnsi="Arial" w:cs="Arial" w:eastAsia="Arial"/>
          <w:color w:val="000000"/>
          <w:spacing w:val="0"/>
          <w:position w:val="0"/>
          <w:sz w:val="28"/>
          <w:shd w:fill="auto" w:val="clear"/>
        </w:rPr>
        <w:t xml:space="preserve">(vida de Florencio Sánchez), </w:t>
      </w:r>
      <w:r>
        <w:rPr>
          <w:rFonts w:ascii="Arial" w:hAnsi="Arial" w:cs="Arial" w:eastAsia="Arial"/>
          <w:i/>
          <w:color w:val="000000"/>
          <w:spacing w:val="0"/>
          <w:position w:val="0"/>
          <w:sz w:val="28"/>
          <w:shd w:fill="auto" w:val="clear"/>
        </w:rPr>
        <w:t xml:space="preserve">“Ser o no Ser” </w:t>
      </w:r>
      <w:r>
        <w:rPr>
          <w:rFonts w:ascii="Arial" w:hAnsi="Arial" w:cs="Arial" w:eastAsia="Arial"/>
          <w:color w:val="000000"/>
          <w:spacing w:val="0"/>
          <w:position w:val="0"/>
          <w:sz w:val="28"/>
          <w:shd w:fill="auto" w:val="clear"/>
        </w:rPr>
        <w:t xml:space="preserve">(vida de </w:t>
      </w:r>
      <w:r>
        <w:rPr>
          <w:rFonts w:ascii="Arial" w:hAnsi="Arial" w:cs="Arial" w:eastAsia="Arial"/>
          <w:i/>
          <w:color w:val="000000"/>
          <w:spacing w:val="0"/>
          <w:position w:val="0"/>
          <w:sz w:val="28"/>
          <w:shd w:fill="auto" w:val="clear"/>
        </w:rPr>
        <w:t xml:space="preserve">Shakespeare</w:t>
      </w:r>
      <w:r>
        <w:rPr>
          <w:rFonts w:ascii="Arial" w:hAnsi="Arial" w:cs="Arial" w:eastAsia="Arial"/>
          <w:color w:val="000000"/>
          <w:spacing w:val="0"/>
          <w:position w:val="0"/>
          <w:sz w:val="28"/>
          <w:shd w:fill="auto" w:val="clear"/>
        </w:rPr>
        <w:t xml:space="preserve">) y “</w:t>
      </w:r>
      <w:r>
        <w:rPr>
          <w:rFonts w:ascii="Arial" w:hAnsi="Arial" w:cs="Arial" w:eastAsia="Arial"/>
          <w:i/>
          <w:color w:val="000000"/>
          <w:spacing w:val="0"/>
          <w:position w:val="0"/>
          <w:sz w:val="28"/>
          <w:shd w:fill="auto" w:val="clear"/>
        </w:rPr>
        <w:t xml:space="preserve">Exilio y mate amargo</w:t>
      </w:r>
      <w:r>
        <w:rPr>
          <w:rFonts w:ascii="Arial" w:hAnsi="Arial" w:cs="Arial" w:eastAsia="Arial"/>
          <w:color w:val="000000"/>
          <w:spacing w:val="0"/>
          <w:position w:val="0"/>
          <w:sz w:val="28"/>
          <w:shd w:fill="auto" w:val="clear"/>
        </w:rPr>
        <w:t xml:space="preserve">” (evocación de Artigas en el Paraguay).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De este período restan dos nuevas obras sin estrenar: </w:t>
      </w:r>
      <w:r>
        <w:rPr>
          <w:rFonts w:ascii="Arial" w:hAnsi="Arial" w:cs="Arial" w:eastAsia="Arial"/>
          <w:i/>
          <w:color w:val="000000"/>
          <w:spacing w:val="0"/>
          <w:position w:val="0"/>
          <w:sz w:val="28"/>
          <w:shd w:fill="auto" w:val="clear"/>
        </w:rPr>
        <w:t xml:space="preserve">“El último molino”, </w:t>
      </w:r>
      <w:r>
        <w:rPr>
          <w:rFonts w:ascii="Arial" w:hAnsi="Arial" w:cs="Arial" w:eastAsia="Arial"/>
          <w:color w:val="000000"/>
          <w:spacing w:val="0"/>
          <w:position w:val="0"/>
          <w:sz w:val="28"/>
          <w:shd w:fill="auto" w:val="clear"/>
        </w:rPr>
        <w:t xml:space="preserve">(Cervantes y Quijote confundidos en una pesadilla final) y “</w:t>
      </w:r>
      <w:r>
        <w:rPr>
          <w:rFonts w:ascii="Arial" w:hAnsi="Arial" w:cs="Arial" w:eastAsia="Arial"/>
          <w:i/>
          <w:color w:val="000000"/>
          <w:spacing w:val="0"/>
          <w:position w:val="0"/>
          <w:sz w:val="28"/>
          <w:shd w:fill="auto" w:val="clear"/>
        </w:rPr>
        <w:t xml:space="preserve">El hombre en su cama”</w:t>
      </w:r>
      <w:r>
        <w:rPr>
          <w:rFonts w:ascii="Arial" w:hAnsi="Arial" w:cs="Arial" w:eastAsia="Arial"/>
          <w:color w:val="000000"/>
          <w:spacing w:val="0"/>
          <w:position w:val="0"/>
          <w:sz w:val="28"/>
          <w:shd w:fill="auto" w:val="clear"/>
        </w:rPr>
        <w:t xml:space="preserve">, (encuentro entre Onetti y su mítico personaje Juntacadáveres).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 En 2015, publica su única novela documental sobre la Guerra Civil Española: </w:t>
      </w:r>
      <w:r>
        <w:rPr>
          <w:rFonts w:ascii="Arial" w:hAnsi="Arial" w:cs="Arial" w:eastAsia="Arial"/>
          <w:i/>
          <w:color w:val="000000"/>
          <w:spacing w:val="0"/>
          <w:position w:val="0"/>
          <w:sz w:val="28"/>
          <w:shd w:fill="auto" w:val="clear"/>
        </w:rPr>
        <w:t xml:space="preserve">“En busca de Manuel”</w:t>
      </w:r>
      <w:r>
        <w:rPr>
          <w:rFonts w:ascii="Arial" w:hAnsi="Arial" w:cs="Arial" w:eastAsia="Arial"/>
          <w:color w:val="000000"/>
          <w:spacing w:val="0"/>
          <w:position w:val="0"/>
          <w:sz w:val="28"/>
          <w:shd w:fill="auto" w:val="clear"/>
        </w:rPr>
        <w:t xml:space="preserve">.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 En 2018, publica sus “memorias” en Buenos Aires, bajo el título </w:t>
      </w:r>
      <w:r>
        <w:rPr>
          <w:rFonts w:ascii="Arial" w:hAnsi="Arial" w:cs="Arial" w:eastAsia="Arial"/>
          <w:i/>
          <w:color w:val="000000"/>
          <w:spacing w:val="0"/>
          <w:position w:val="0"/>
          <w:sz w:val="28"/>
          <w:shd w:fill="auto" w:val="clear"/>
        </w:rPr>
        <w:t xml:space="preserve">“El resto es silencio”. </w:t>
      </w:r>
      <w:r>
        <w:rPr>
          <w:rFonts w:ascii="Arial" w:hAnsi="Arial" w:cs="Arial" w:eastAsia="Arial"/>
          <w:color w:val="000000"/>
          <w:spacing w:val="0"/>
          <w:position w:val="0"/>
          <w:sz w:val="28"/>
          <w:shd w:fill="auto" w:val="clear"/>
        </w:rPr>
        <w:t xml:space="preserve">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 En 2019/2020, publica una Antología de sus obras en 3 volúmenes. Incluye: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w:t>
      </w:r>
      <w:r>
        <w:rPr>
          <w:rFonts w:ascii="Arial" w:hAnsi="Arial" w:cs="Arial" w:eastAsia="Arial"/>
          <w:i/>
          <w:color w:val="000000"/>
          <w:spacing w:val="0"/>
          <w:position w:val="0"/>
          <w:sz w:val="28"/>
          <w:shd w:fill="auto" w:val="clear"/>
        </w:rPr>
        <w:t xml:space="preserve">Verdugo es el amor</w:t>
      </w:r>
      <w:r>
        <w:rPr>
          <w:rFonts w:ascii="Arial" w:hAnsi="Arial" w:cs="Arial" w:eastAsia="Arial"/>
          <w:color w:val="000000"/>
          <w:spacing w:val="0"/>
          <w:position w:val="0"/>
          <w:sz w:val="28"/>
          <w:shd w:fill="auto" w:val="clear"/>
        </w:rPr>
        <w:t xml:space="preserve">” (Lope de Vega y sus tormentos)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i/>
          <w:color w:val="000000"/>
          <w:spacing w:val="0"/>
          <w:position w:val="0"/>
          <w:sz w:val="28"/>
          <w:shd w:fill="auto" w:val="clear"/>
        </w:rPr>
        <w:t xml:space="preserve">“El trapecio loco” </w:t>
      </w:r>
      <w:r>
        <w:rPr>
          <w:rFonts w:ascii="Arial" w:hAnsi="Arial" w:cs="Arial" w:eastAsia="Arial"/>
          <w:color w:val="000000"/>
          <w:spacing w:val="0"/>
          <w:position w:val="0"/>
          <w:sz w:val="28"/>
          <w:shd w:fill="auto" w:val="clear"/>
        </w:rPr>
        <w:t xml:space="preserve">(fin de Pablo Podestá)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i/>
          <w:color w:val="000000"/>
          <w:spacing w:val="0"/>
          <w:position w:val="0"/>
          <w:sz w:val="28"/>
          <w:shd w:fill="auto" w:val="clear"/>
        </w:rPr>
        <w:t xml:space="preserve">“Con tinta y con sangre” </w:t>
      </w:r>
      <w:r>
        <w:rPr>
          <w:rFonts w:ascii="Arial" w:hAnsi="Arial" w:cs="Arial" w:eastAsia="Arial"/>
          <w:color w:val="000000"/>
          <w:spacing w:val="0"/>
          <w:position w:val="0"/>
          <w:sz w:val="28"/>
          <w:shd w:fill="auto" w:val="clear"/>
        </w:rPr>
        <w:t xml:space="preserve">(la Revolución de Mayo)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i/>
          <w:color w:val="000000"/>
          <w:spacing w:val="0"/>
          <w:position w:val="0"/>
          <w:sz w:val="28"/>
          <w:shd w:fill="auto" w:val="clear"/>
        </w:rPr>
        <w:t xml:space="preserve">“Mi voz al viento” </w:t>
      </w:r>
      <w:r>
        <w:rPr>
          <w:rFonts w:ascii="Arial" w:hAnsi="Arial" w:cs="Arial" w:eastAsia="Arial"/>
          <w:color w:val="000000"/>
          <w:spacing w:val="0"/>
          <w:position w:val="0"/>
          <w:sz w:val="28"/>
          <w:shd w:fill="auto" w:val="clear"/>
        </w:rPr>
        <w:t xml:space="preserve">(martirio de Miguel Hernández; Primer Premio Cofonte 2010) </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i/>
          <w:color w:val="000000"/>
          <w:spacing w:val="0"/>
          <w:position w:val="0"/>
          <w:sz w:val="28"/>
          <w:shd w:fill="auto" w:val="clear"/>
        </w:rPr>
        <w:t xml:space="preserve">“Ratas” </w:t>
      </w:r>
      <w:r>
        <w:rPr>
          <w:rFonts w:ascii="Arial" w:hAnsi="Arial" w:cs="Arial" w:eastAsia="Arial"/>
          <w:color w:val="000000"/>
          <w:spacing w:val="0"/>
          <w:position w:val="0"/>
          <w:sz w:val="28"/>
          <w:shd w:fill="auto" w:val="clear"/>
        </w:rPr>
        <w:t xml:space="preserve">(exilios de Brecht y Walter Benjamin)</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En 2021, Acosta escribe </w:t>
      </w:r>
      <w:r>
        <w:rPr>
          <w:rFonts w:ascii="Arial" w:hAnsi="Arial" w:cs="Arial" w:eastAsia="Arial"/>
          <w:i/>
          <w:color w:val="000000"/>
          <w:spacing w:val="0"/>
          <w:position w:val="0"/>
          <w:sz w:val="28"/>
          <w:shd w:fill="auto" w:val="clear"/>
        </w:rPr>
        <w:t xml:space="preserve">"Pasión  ardiente", </w:t>
      </w:r>
      <w:r>
        <w:rPr>
          <w:rFonts w:ascii="Arial" w:hAnsi="Arial" w:cs="Arial" w:eastAsia="Arial"/>
          <w:color w:val="000000"/>
          <w:spacing w:val="0"/>
          <w:position w:val="0"/>
          <w:sz w:val="28"/>
          <w:shd w:fill="auto" w:val="clear"/>
        </w:rPr>
        <w:t xml:space="preserve">inspirada en la vida y</w:t>
      </w: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obra de José Pedro Varela.</w:t>
      </w:r>
    </w:p>
    <w:p>
      <w:pPr>
        <w:numPr>
          <w:ilvl w:val="0"/>
          <w:numId w:val="4"/>
        </w:numPr>
        <w:spacing w:before="0" w:after="200" w:line="276"/>
        <w:ind w:right="0" w:left="720" w:firstLine="3150"/>
        <w:jc w:val="left"/>
        <w:rPr>
          <w:rFonts w:ascii="Arial" w:hAnsi="Arial" w:cs="Arial" w:eastAsia="Arial"/>
          <w:color w:val="auto"/>
          <w:spacing w:val="0"/>
          <w:position w:val="0"/>
          <w:sz w:val="32"/>
          <w:shd w:fill="auto" w:val="clear"/>
        </w:rPr>
      </w:pPr>
    </w:p>
    <w:p>
      <w:pPr>
        <w:spacing w:before="0" w:after="0" w:line="240"/>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Reside actualmente en Buenos Aires.</w:t>
      </w:r>
    </w:p>
    <w:p>
      <w:pPr>
        <w:spacing w:before="0" w:after="0" w:line="240"/>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walter.procosta@gmail.com</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